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ee5f24d41ef47ef" /><Relationship Type="http://schemas.openxmlformats.org/package/2006/relationships/metadata/core-properties" Target="/package/services/metadata/core-properties/6c3eb6600f594f7d973e12801f16879f.psmdcp" Id="R42cd9fe690c84cd1" /></Relationships>
</file>

<file path=word/document.xml><?xml version="1.0" encoding="utf-8"?>
<w:document xmlns:w="http://schemas.openxmlformats.org/wordprocessingml/2006/main" xmlns:mc="http://schemas.openxmlformats.org/markup-compatibility/2006" xmlns:w14="http://schemas.microsoft.com/office/word/2010/wordml" mc:Ignorable="w14">
  <w:body>
    <w:p w14:paraId="00100000" w14:textId="00100001">
      <w:pPr>
        <w:pStyle w:val="FirmName"/>
      </w:pPr>
      <w:r>
        <w:rPr/>
        <w:t xml:space="preserve">HARGROVE &amp; WINSLETT LLP</w:t>
      </w:r>
    </w:p>
    <w:p w14:paraId="00100002" w14:textId="00100003">
      <w:pPr>
        <w:spacing w:before="0" w:after="80"/>
        <w:jc w:val="center"/>
      </w:pPr>
      <w:r>
        <w:rPr>
          <w:rFonts w:ascii="Georgia" w:hAnsi="Georgia" w:eastAsia="Georgia"/>
          <w:i/>
          <w:color w:val="4A5568"/>
          <w:sz w:val="22"/>
        </w:rPr>
        <w:t xml:space="preserve">Attorneys at Law</w:t>
      </w:r>
    </w:p>
    <w:p w14:paraId="00100004" w14:textId="00100005">
      <w:pPr>
        <w:pBdr>
          <w:bottom w:val="single" w:color="1B2A4A" w:sz="6" w:space="1"/>
        </w:pBdr>
        <w:spacing w:before="0" w:after="0"/>
      </w:pPr>
      <w:r>
        <w:rPr>
          <w:rFonts w:ascii="Georgia" w:hAnsi="Georgia" w:eastAsia="Georgia"/>
          <w:sz w:val="8"/>
        </w:rPr>
        <w:t xml:space="preserve"/>
      </w:r>
    </w:p>
    <w:p w14:paraId="00100006" w14:textId="00100007">
      <w:pPr>
        <w:spacing w:before="0" w:after="60"/>
      </w:pPr>
      <w:r>
        <w:rPr>
          <w:rFonts w:ascii="Georgia" w:hAnsi="Georgia" w:eastAsia="Georgia"/>
          <w:sz w:val="8"/>
        </w:rPr>
        <w:t xml:space="preserve"/>
      </w:r>
    </w:p>
    <w:p w14:paraId="00100008" w14:textId="00100067">
      <w:pPr>
        <w:pStyle w:val="MemoHeaderField"/>
      </w:pPr>
      <w:r>
        <w:rPr>
          <w:rFonts w:ascii="Georgia" w:hAnsi="Georgia" w:eastAsia="Georgia"/>
          <w:b/>
          <w:color w:val="1B2A4A"/>
          <w:sz w:val="22"/>
        </w:rPr>
        <w:t xml:space="preserve">TO: </w:t>
      </w:r>
      <w:r>
        <w:rPr>
          <w:rFonts w:ascii="Georgia" w:hAnsi="Georgia" w:eastAsia="Georgia"/>
          <w:color w:val="1A1A1A"/>
          <w:sz w:val="22"/>
        </w:rPr>
        <w:t xml:space="preserve">Drayfield Technologies</w:t>
      </w:r>
    </w:p>
    <w:p w14:paraId="0010000A" w14:textId="00100069">
      <w:pPr>
        <w:pStyle w:val="MemoHeaderField"/>
      </w:pPr>
      <w:r>
        <w:rPr>
          <w:rFonts w:ascii="Georgia" w:hAnsi="Georgia" w:eastAsia="Georgia"/>
          <w:b/>
          <w:color w:val="1B2A4A"/>
          <w:sz w:val="22"/>
        </w:rPr>
        <w:t xml:space="preserve">FROM: </w:t>
      </w:r>
      <w:r>
        <w:rPr>
          <w:rFonts w:ascii="Georgia" w:hAnsi="Georgia" w:eastAsia="Georgia"/>
          <w:color w:val="1A1A1A"/>
          <w:sz w:val="22"/>
        </w:rPr>
        <w:t xml:space="preserve">Patricia Malone, Partner</w:t>
      </w:r>
    </w:p>
    <w:p w14:paraId="0010000C" w14:textId="0010006B">
      <w:pPr>
        <w:pStyle w:val="MemoHeaderField"/>
      </w:pPr>
      <w:r>
        <w:rPr>
          <w:rFonts w:ascii="Georgia" w:hAnsi="Georgia" w:eastAsia="Georgia"/>
          <w:b/>
          <w:color w:val="1B2A4A"/>
          <w:sz w:val="22"/>
        </w:rPr>
        <w:t xml:space="preserve">DATE: </w:t>
      </w:r>
      <w:r>
        <w:rPr>
          <w:rFonts w:ascii="Georgia" w:hAnsi="Georgia" w:eastAsia="Georgia"/>
          <w:color w:val="1A1A1A"/>
          <w:sz w:val="22"/>
        </w:rPr>
        <w:t xml:space="preserve">April 5, 2026</w:t>
      </w:r>
    </w:p>
    <w:p w14:paraId="0010000E" w14:textId="0010006D">
      <w:pPr>
        <w:pStyle w:val="MemoHeaderField"/>
      </w:pPr>
      <w:r>
        <w:rPr>
          <w:rFonts w:ascii="Georgia" w:hAnsi="Georgia" w:eastAsia="Georgia"/>
          <w:b/>
          <w:color w:val="1B2A4A"/>
          <w:sz w:val="22"/>
        </w:rPr>
        <w:t xml:space="preserve">RE: </w:t>
      </w:r>
      <w:r>
        <w:rPr>
          <w:rFonts w:ascii="Georgia" w:hAnsi="Georgia" w:eastAsia="Georgia"/>
          <w:color w:val="1A1A1A"/>
          <w:sz w:val="22"/>
        </w:rPr>
        <w:t xml:space="preserve">Review of Vendor Software Agreement — Pre-Execution Analysis</w:t>
      </w:r>
    </w:p>
    <w:p w14:paraId="00100010" w14:textId="00100011">
      <w:pPr>
        <w:pBdr>
          <w:bottom w:val="single" w:color="B0B8C8" w:sz="2" w:space="1"/>
        </w:pBdr>
        <w:spacing w:before="100" w:after="0"/>
      </w:pPr>
      <w:r>
        <w:rPr>
          <w:rFonts w:ascii="Georgia" w:hAnsi="Georgia" w:eastAsia="Georgia"/>
          <w:sz w:val="8"/>
        </w:rPr>
        <w:t xml:space="preserve"/>
      </w:r>
    </w:p>
    <w:p w14:paraId="00100012" w14:textId="00100013">
      <w:pPr>
        <w:spacing w:before="0" w:after="120"/>
      </w:pPr>
      <w:r>
        <w:rPr>
          <w:rFonts w:ascii="Georgia" w:hAnsi="Georgia" w:eastAsia="Georgia"/>
          <w:sz w:val="12"/>
        </w:rPr>
        <w:t xml:space="preserve"/>
      </w:r>
    </w:p>
    <w:p w14:paraId="00100014" w14:textId="00100015">
      <w:pPr>
        <w:pStyle w:val="MemoHeading"/>
      </w:pPr>
      <w:r>
        <w:rPr/>
        <w:t xml:space="preserve">I. EXECUTIVE SUMMARY</w:t>
      </w:r>
    </w:p>
    <w:p w14:paraId="00100016" w14:textId="00100017">
      <w:pPr>
        <w:pStyle w:val="MemoBody"/>
        <w:spacing w:line="276" w:lineRule="auto"/>
      </w:pPr>
      <w:r>
        <w:rPr/>
        <w:t xml:space="preserve">We have completed our review of the proposed Vendor Software Agreement (the "Agreement") submitted for execution by Drayfield Technologies. Our review has identified three material issues that present significant legal and commercial risk to your organization and that must be addressed prior to execution.</w:t>
      </w:r>
    </w:p>
    <w:p w14:paraId="00100018" w14:textId="00100019">
      <w:pPr>
        <w:pStyle w:val="MemoBody"/>
        <w:spacing w:line="276" w:lineRule="auto"/>
      </w:pPr>
      <w:r>
        <w:rPr/>
        <w:t xml:space="preserve">We strongly advise against executing the Agreement in its current form. The concerns identified herein are not minor drafting preferences; they represent substantive provisions that could expose Drayfield Technologies to material financial liability and intellectual property risk. Negotiation of revised terms is warranted before proceeding.</w:t>
      </w:r>
    </w:p>
    <w:p w14:paraId="0010001A" w14:textId="0010001B">
      <w:pPr>
        <w:pBdr>
          <w:bottom w:val="single" w:color="B0B8C8" w:sz="2" w:space="1"/>
        </w:pBdr>
        <w:spacing w:before="60" w:after="0"/>
      </w:pPr>
      <w:r>
        <w:rPr>
          <w:rFonts w:ascii="Georgia" w:hAnsi="Georgia" w:eastAsia="Georgia"/>
          <w:sz w:val="8"/>
        </w:rPr>
        <w:t xml:space="preserve"/>
      </w:r>
    </w:p>
    <w:p w14:paraId="0010001C" w14:textId="0010001D">
      <w:pPr>
        <w:spacing w:before="0" w:after="80"/>
      </w:pPr>
      <w:r>
        <w:rPr>
          <w:rFonts w:ascii="Georgia" w:hAnsi="Georgia" w:eastAsia="Georgia"/>
          <w:sz w:val="12"/>
        </w:rPr>
        <w:t xml:space="preserve"/>
      </w:r>
    </w:p>
    <w:p w14:paraId="0010001E" w14:textId="0010001F">
      <w:pPr>
        <w:pStyle w:val="MemoHeading"/>
      </w:pPr>
      <w:r>
        <w:rPr/>
        <w:t xml:space="preserve">II. KEY ISSUES IDENTIFIED</w:t>
      </w:r>
    </w:p>
    <w:p w14:paraId="00100020" w14:textId="00100021">
      <w:pPr>
        <w:pStyle w:val="MemoHeading"/>
        <w:spacing w:before="120" w:after="60"/>
      </w:pPr>
      <w:r>
        <w:rPr>
          <w:b/>
          <w:color w:val="2C3E6B"/>
          <w:sz w:val="22"/>
        </w:rPr>
        <w:t xml:space="preserve">Issue 1 — Limitation of Liability</w:t>
      </w:r>
    </w:p>
    <w:p w14:paraId="00100022" w14:textId="00100023">
      <w:pPr>
        <w:pStyle w:val="MemoBody"/>
        <w:spacing w:line="276" w:lineRule="auto"/>
      </w:pPr>
      <w:r>
        <w:rPr/>
        <w:t xml:space="preserve">The Agreement's Limitation of Liability clause caps the vendor's aggregate damages exposure at three (3) months of fees paid by the client. For a mission-critical SaaS product on which Drayfield Technologies' core operations depend, this ceiling is wholly inadequate. In the event of a material service failure, data breach, or prolonged outage, the recoverable damages would bear no reasonable relationship to the actual losses suffered.</w:t>
      </w:r>
    </w:p>
    <w:p w14:paraId="00100024" w14:textId="00100025">
      <w:pPr>
        <w:pStyle w:val="MemoBody"/>
        <w:spacing w:line="276" w:lineRule="auto"/>
      </w:pPr>
      <w:r>
        <w:rPr/>
        <w:t xml:space="preserve">Market-standard provisions for mission-critical SaaS arrangements typically provide a liability cap of twelve (12) months of fees, with carve-outs for gross negligence, willful misconduct, and breaches of confidentiality.</w:t>
      </w:r>
    </w:p>
    <w:p w14:paraId="00100026" w14:textId="00100027">
      <w:pPr>
        <w:pStyle w:val="MemoHeading"/>
        <w:spacing w:before="120" w:after="60"/>
      </w:pPr>
      <w:r>
        <w:rPr>
          <w:b/>
          <w:color w:val="2C3E6B"/>
          <w:sz w:val="22"/>
        </w:rPr>
        <w:t xml:space="preserve">Issue 2 — Intellectual Property Ownership</w:t>
      </w:r>
    </w:p>
    <w:p w14:paraId="00100028" w14:textId="00100029">
      <w:pPr>
        <w:pStyle w:val="MemoBody"/>
        <w:spacing w:line="276" w:lineRule="auto"/>
      </w:pPr>
      <w:r>
        <w:rPr/>
        <w:t xml:space="preserve">The IP Ownership clause fails to adequately address the ownership of derivative works, models, or outputs that are generated through processing of client data. As currently drafted, the clause is ambiguous as to whether the vendor may claim rights in derivative intellectual property arising from analysis of, or learning from, Drayfield Technologies' proprietary data.</w:t>
      </w:r>
    </w:p>
    <w:p w14:paraId="0010002A" w14:textId="0010002B">
      <w:pPr>
        <w:pStyle w:val="MemoBody"/>
        <w:spacing w:line="276" w:lineRule="auto"/>
      </w:pPr>
      <w:r>
        <w:rPr/>
        <w:t xml:space="preserve">This ambiguity presents a significant risk that the vendor could assert ownership interests in outputs or improvements derived from your confidential information. The clause requires revision to expressly vest all such derivative works in Drayfield Technologies.</w:t>
      </w:r>
    </w:p>
    <w:p w14:paraId="0010002C" w14:textId="0010002D">
      <w:pPr>
        <w:pStyle w:val="MemoHeading"/>
        <w:spacing w:before="120" w:after="60"/>
      </w:pPr>
      <w:r>
        <w:rPr>
          <w:b/>
          <w:color w:val="2C3E6B"/>
          <w:sz w:val="22"/>
        </w:rPr>
        <w:t xml:space="preserve">Issue 3 — Auto-Renewal and Notice Window</w:t>
      </w:r>
    </w:p>
    <w:p w14:paraId="0010002E" w14:textId="0010002F">
      <w:pPr>
        <w:pStyle w:val="MemoBody"/>
        <w:spacing w:line="276" w:lineRule="auto"/>
      </w:pPr>
      <w:r>
        <w:rPr/>
        <w:t xml:space="preserve">The auto-renewal provision requires ninety (90) days' written notice of non-renewal prior to the end of each contract term. The clause contains no grace period, no constructive notice exception, and no obligation on the vendor's part to provide advance reminder notice. This structure is highly unfavorable and creates a substantial risk of inadvertent multi-year renewals at potentially unfavorable rates.</w:t>
      </w:r>
    </w:p>
    <w:p w14:paraId="00100030" w14:textId="00100031">
      <w:pPr>
        <w:pStyle w:val="MemoBody"/>
        <w:spacing w:line="276" w:lineRule="auto"/>
      </w:pPr>
      <w:r>
        <w:rPr/>
        <w:t xml:space="preserve">Industry practice for commercial SaaS agreements typically calls for notice periods of thirty (30) to sixty (60) days, with a reasonable cure window and a vendor obligation to provide timely renewal reminder notices.</w:t>
      </w:r>
    </w:p>
    <w:p w14:paraId="00100032" w14:textId="00100033">
      <w:pPr>
        <w:pBdr>
          <w:bottom w:val="single" w:color="B0B8C8" w:sz="2" w:space="1"/>
        </w:pBdr>
        <w:spacing w:before="60" w:after="0"/>
      </w:pPr>
      <w:r>
        <w:rPr>
          <w:rFonts w:ascii="Georgia" w:hAnsi="Georgia" w:eastAsia="Georgia"/>
          <w:sz w:val="8"/>
        </w:rPr>
        <w:t xml:space="preserve"/>
      </w:r>
    </w:p>
    <w:p w14:paraId="00100034" w14:textId="00100035">
      <w:pPr>
        <w:spacing w:before="0" w:after="80"/>
      </w:pPr>
      <w:r>
        <w:rPr>
          <w:rFonts w:ascii="Georgia" w:hAnsi="Georgia" w:eastAsia="Georgia"/>
          <w:sz w:val="12"/>
        </w:rPr>
        <w:t xml:space="preserve"/>
      </w:r>
    </w:p>
    <w:p w14:paraId="00100036" w14:textId="00100037">
      <w:pPr>
        <w:pStyle w:val="MemoHeading"/>
      </w:pPr>
      <w:r>
        <w:rPr/>
        <w:t xml:space="preserve">III. RECOMMENDED ACTIONS</w:t>
      </w:r>
    </w:p>
    <w:p w14:paraId="00100038" w14:textId="00100039">
      <w:pPr>
        <w:pStyle w:val="MemoBody"/>
        <w:spacing w:after="40"/>
      </w:pPr>
      <w:r>
        <w:rPr>
          <w:b/>
        </w:rPr>
        <w:t xml:space="preserve">With respect to the Limitation of Liability clause:</w:t>
      </w:r>
    </w:p>
    <w:p w14:paraId="0010003A" w14:textId="0010003B">
      <w:pPr>
        <w:pStyle w:val="MemoBody"/>
        <w:numPr>
          <w:ilvl w:val="0"/>
          <w:numId w:val="1"/>
        </w:numPr>
        <w:spacing w:after="60"/>
        <w:ind w:left="360"/>
      </w:pPr>
      <w:r>
        <w:rPr>
          <w:rFonts w:ascii="Georgia" w:hAnsi="Georgia" w:eastAsia="Georgia"/>
          <w:sz w:val="22"/>
        </w:rPr>
        <w:t xml:space="preserve">Negotiate an increase in the aggregate liability cap to no less than twelve (12) months of fees paid.</w:t>
      </w:r>
    </w:p>
    <w:p w14:paraId="0010003C" w14:textId="0010003D">
      <w:pPr>
        <w:pStyle w:val="MemoBody"/>
        <w:numPr>
          <w:ilvl w:val="0"/>
          <w:numId w:val="1"/>
        </w:numPr>
        <w:spacing w:after="60"/>
        <w:ind w:left="360"/>
      </w:pPr>
      <w:r>
        <w:rPr>
          <w:rFonts w:ascii="Georgia" w:hAnsi="Georgia" w:eastAsia="Georgia"/>
          <w:sz w:val="22"/>
        </w:rPr>
        <w:t xml:space="preserve">Insist on express carve-outs from the cap for breaches of confidentiality, data security incidents, gross negligence, and willful misconduct.</w:t>
      </w:r>
    </w:p>
    <w:p w14:paraId="0010003E" w14:textId="0010003F">
      <w:pPr>
        <w:pStyle w:val="MemoBody"/>
        <w:numPr>
          <w:ilvl w:val="0"/>
          <w:numId w:val="1"/>
        </w:numPr>
        <w:spacing w:after="120"/>
        <w:ind w:left="360"/>
      </w:pPr>
      <w:r>
        <w:rPr>
          <w:rFonts w:ascii="Georgia" w:hAnsi="Georgia" w:eastAsia="Georgia"/>
          <w:sz w:val="22"/>
        </w:rPr>
        <w:t xml:space="preserve">Request inclusion of a mutual limitation clause ensuring parity of exposure between both parties.</w:t>
      </w:r>
    </w:p>
    <w:p w14:paraId="00100040" w14:textId="00100041">
      <w:pPr>
        <w:pStyle w:val="MemoBody"/>
        <w:spacing w:after="40"/>
      </w:pPr>
      <w:r>
        <w:rPr>
          <w:b/>
        </w:rPr>
        <w:t xml:space="preserve">With respect to the Intellectual Property Ownership clause:</w:t>
      </w:r>
    </w:p>
    <w:p w14:paraId="00100042" w14:textId="00100043">
      <w:pPr>
        <w:pStyle w:val="MemoBody"/>
        <w:numPr>
          <w:ilvl w:val="0"/>
          <w:numId w:val="2"/>
        </w:numPr>
        <w:spacing w:after="60"/>
        <w:ind w:left="360"/>
      </w:pPr>
      <w:r>
        <w:rPr>
          <w:rFonts w:ascii="Georgia" w:hAnsi="Georgia" w:eastAsia="Georgia"/>
          <w:sz w:val="22"/>
        </w:rPr>
        <w:t xml:space="preserve">Demand insertion of an explicit provision confirming that all derivative works, trained models, or outputs generated from client data remain the exclusive property of Drayfield Technologies.</w:t>
      </w:r>
    </w:p>
    <w:p w14:paraId="00100044" w14:textId="00100045">
      <w:pPr>
        <w:pStyle w:val="MemoBody"/>
        <w:numPr>
          <w:ilvl w:val="0"/>
          <w:numId w:val="2"/>
        </w:numPr>
        <w:spacing w:after="60"/>
        <w:ind w:left="360"/>
      </w:pPr>
      <w:r>
        <w:rPr>
          <w:rFonts w:ascii="Georgia" w:hAnsi="Georgia" w:eastAsia="Georgia"/>
          <w:sz w:val="22"/>
        </w:rPr>
        <w:t xml:space="preserve">Require the vendor to provide an express covenant not to use client data for model training, product improvement, or any purpose beyond contracted service delivery.</w:t>
      </w:r>
    </w:p>
    <w:p w14:paraId="00100046" w14:textId="00100047">
      <w:pPr>
        <w:pStyle w:val="MemoBody"/>
        <w:numPr>
          <w:ilvl w:val="0"/>
          <w:numId w:val="2"/>
        </w:numPr>
        <w:spacing w:after="120"/>
        <w:ind w:left="360"/>
      </w:pPr>
      <w:r>
        <w:rPr>
          <w:rFonts w:ascii="Georgia" w:hAnsi="Georgia" w:eastAsia="Georgia"/>
          <w:sz w:val="22"/>
        </w:rPr>
        <w:t xml:space="preserve">Ensure alignment with Drayfield Technologies' existing IP policies and any applicable data processing obligations.</w:t>
      </w:r>
    </w:p>
    <w:p w14:paraId="00100048" w14:textId="00100049">
      <w:pPr>
        <w:pStyle w:val="MemoBody"/>
        <w:spacing w:after="40"/>
      </w:pPr>
      <w:r>
        <w:rPr>
          <w:b/>
        </w:rPr>
        <w:t xml:space="preserve">With respect to the Auto-Renewal clause:</w:t>
      </w:r>
    </w:p>
    <w:p w14:paraId="0010004A" w14:textId="0010004B">
      <w:pPr>
        <w:pStyle w:val="MemoBody"/>
        <w:numPr>
          <w:ilvl w:val="0"/>
          <w:numId w:val="3"/>
        </w:numPr>
        <w:spacing w:after="60"/>
        <w:ind w:left="360"/>
      </w:pPr>
      <w:r>
        <w:rPr>
          <w:rFonts w:ascii="Georgia" w:hAnsi="Georgia" w:eastAsia="Georgia"/>
          <w:sz w:val="22"/>
        </w:rPr>
        <w:t xml:space="preserve">Negotiate the non-renewal notice period down to thirty (30) days, or at most sixty (60) days.</w:t>
      </w:r>
    </w:p>
    <w:p w14:paraId="0010004C" w14:textId="0010004D">
      <w:pPr>
        <w:pStyle w:val="MemoBody"/>
        <w:numPr>
          <w:ilvl w:val="0"/>
          <w:numId w:val="3"/>
        </w:numPr>
        <w:spacing w:after="60"/>
        <w:ind w:left="360"/>
      </w:pPr>
      <w:r>
        <w:rPr>
          <w:rFonts w:ascii="Georgia" w:hAnsi="Georgia" w:eastAsia="Georgia"/>
          <w:sz w:val="22"/>
        </w:rPr>
        <w:t xml:space="preserve">Require the vendor to provide written reminder notice no less than sixty (60) days prior to the non-renewal deadline as a condition precedent to auto-renewal.</w:t>
      </w:r>
    </w:p>
    <w:p w14:paraId="0010004E" w14:textId="0010004F">
      <w:pPr>
        <w:pStyle w:val="MemoBody"/>
        <w:numPr>
          <w:ilvl w:val="0"/>
          <w:numId w:val="3"/>
        </w:numPr>
        <w:spacing w:after="120"/>
        <w:ind w:left="360"/>
      </w:pPr>
      <w:r>
        <w:rPr>
          <w:rFonts w:ascii="Georgia" w:hAnsi="Georgia" w:eastAsia="Georgia"/>
          <w:sz w:val="22"/>
        </w:rPr>
        <w:t xml:space="preserve">Negotiate a thirty (30) day grace period following inadvertent renewal with no fee obligation for the grace period term.</w:t>
      </w:r>
    </w:p>
    <w:p w14:paraId="00100050" w14:textId="00100051">
      <w:pPr>
        <w:pBdr>
          <w:bottom w:val="single" w:color="B0B8C8" w:sz="2" w:space="1"/>
        </w:pBdr>
        <w:spacing w:before="60" w:after="0"/>
      </w:pPr>
      <w:r>
        <w:rPr>
          <w:rFonts w:ascii="Georgia" w:hAnsi="Georgia" w:eastAsia="Georgia"/>
          <w:sz w:val="8"/>
        </w:rPr>
        <w:t xml:space="preserve"/>
      </w:r>
    </w:p>
    <w:p w14:paraId="00100052" w14:textId="00100053">
      <w:pPr>
        <w:spacing w:before="0" w:after="80"/>
      </w:pPr>
      <w:r>
        <w:rPr>
          <w:rFonts w:ascii="Georgia" w:hAnsi="Georgia" w:eastAsia="Georgia"/>
          <w:sz w:val="12"/>
        </w:rPr>
        <w:t xml:space="preserve"/>
      </w:r>
    </w:p>
    <w:p w14:paraId="00100054" w14:textId="00100055">
      <w:pPr>
        <w:pStyle w:val="MemoHeading"/>
      </w:pPr>
      <w:r>
        <w:rPr/>
        <w:t xml:space="preserve">IV. CONCLUSION</w:t>
      </w:r>
    </w:p>
    <w:p w14:paraId="00100056" w14:textId="00100057">
      <w:pPr>
        <w:pStyle w:val="MemoBody"/>
        <w:spacing w:line="276" w:lineRule="auto"/>
      </w:pPr>
      <w:r>
        <w:rPr/>
        <w:t xml:space="preserve">Based on our review, we advise Drayfield Technologies not to execute the Agreement in its current form. The three issues identified above represent substantive deficiencies in the contract terms that could expose the company to disproportionate financial liability, unintended loss of intellectual property rights, and unwanted automatic multi-year renewals.</w:t>
      </w:r>
    </w:p>
    <w:p w14:paraId="00100058" w14:textId="00100059">
      <w:pPr>
        <w:pStyle w:val="MemoBody"/>
        <w:spacing w:line="276" w:lineRule="auto"/>
      </w:pPr>
      <w:r>
        <w:rPr/>
        <w:t xml:space="preserve">We recommend that Drayfield Technologies request a revised draft from the vendor incorporating the negotiated changes outlined herein. We are available to assist with drafting proposed redlines and to conduct further negotiations on your behalf as needed. Please do not hesitate to contact this office at your earliest convenience.</w:t>
      </w:r>
    </w:p>
    <w:p w14:paraId="0010005A" w14:textId="0010005B">
      <w:pPr>
        <w:spacing w:before="160" w:after="40"/>
      </w:pPr>
      <w:r>
        <w:rPr>
          <w:rFonts w:ascii="Georgia" w:hAnsi="Georgia" w:eastAsia="Georgia"/>
          <w:sz w:val="12"/>
        </w:rPr>
        <w:t xml:space="preserve"/>
      </w:r>
    </w:p>
    <w:p w14:paraId="0010005C" w14:textId="0010005D">
      <w:pPr>
        <w:pStyle w:val="MemoBody"/>
        <w:spacing w:after="40"/>
      </w:pPr>
      <w:r>
        <w:rPr/>
        <w:t xml:space="preserve">Respectfully submitted,</w:t>
      </w:r>
    </w:p>
    <w:p w14:paraId="0010005E" w14:textId="0010005F">
      <w:pPr>
        <w:spacing w:after="40"/>
      </w:pPr>
      <w:r>
        <w:rPr>
          <w:rFonts w:ascii="Georgia" w:hAnsi="Georgia" w:eastAsia="Georgia"/>
          <w:sz w:val="12"/>
        </w:rPr>
        <w:t xml:space="preserve"/>
      </w:r>
    </w:p>
    <w:p w14:paraId="00100060" w14:textId="00100061">
      <w:pPr>
        <w:pStyle w:val="MemoBody"/>
        <w:spacing w:after="0"/>
      </w:pPr>
      <w:r>
        <w:rPr>
          <w:b/>
        </w:rPr>
        <w:t xml:space="preserve">Patricia Malone</w:t>
      </w:r>
    </w:p>
    <w:p w14:paraId="00100062" w14:textId="00100063">
      <w:pPr>
        <w:pStyle w:val="MemoBody"/>
        <w:spacing w:after="0"/>
      </w:pPr>
      <w:r>
        <w:rPr/>
        <w:t xml:space="preserve">Partner, Hargrove &amp; Winslett LLP</w:t>
      </w:r>
    </w:p>
    <w:p w14:paraId="00100064" w14:textId="00100065">
      <w:pPr>
        <w:pStyle w:val="MemoBody"/>
        <w:spacing w:after="0"/>
      </w:pPr>
      <w:r>
        <w:rPr>
          <w:i/>
        </w:rPr>
        <w:t xml:space="preserve">pmalone@hargrove-winslett.com</w:t>
      </w:r>
    </w:p>
    <w:sectPr>
      <w:pgSz w:w="11906" w:h="16838"/>
      <w:pgMar w:top="1440" w:right="1296" w:bottom="1440" w:left="1440"/>
      <w:docGrid w:type="default"/>
    </w:sectPr>
  </w:body>
</w:document>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 w:numId="2">
    <w:abstractNumId w:val="1"/>
  </w:num>
  <w:num w:numId="3">
    <w:abstractNumId w:val="2"/>
  </w:num>
</w:numbering>
</file>

<file path=word/settings.xml><?xml version="1.0" encoding="utf-8"?>
<w:settings xmlns:w="http://schemas.openxmlformats.org/wordprocessingml/2006/main">
  <w:characterSpacingControl w:val="doNotCompress"/>
  <w:compat>
    <w:spaceForUL/>
    <w:balanceSingleByteDoubleByteWidth/>
    <w:doNotLeaveBackslashAlone/>
    <w:ulTrailSpace/>
    <w:doNotExpandShiftReturn/>
    <w:adjustLineHeightInTable/>
    <w:compatSetting w:name="doNotFlipMirrorIndents" w:uri="http://schemas.microsoft.com/office/word" w:val="1"/>
  </w:compat>
</w:settings>
</file>

<file path=word/styles.xml><?xml version="1.0" encoding="utf-8"?>
<w:styles xmlns:w="http://schemas.openxmlformats.org/wordprocessingml/2006/main">
  <w:docDefaults>
    <w:rPrDefault>
      <w:rPr>
        <w:rFonts w:ascii="Georgia" w:hAnsi="Georgia" w:eastAsia="Georgia" w:cs="Georgia"/>
      </w:rPr>
    </w:rPrDefault>
    <w:pPrDefault>
      <w:pPr>
        <w:kinsoku w:val="false"/>
        <w:overflowPunct w:val="false"/>
        <w:autoSpaceDE w:val="false"/>
        <w:autoSpaceDN w:val="false"/>
      </w:pPr>
    </w:pPrDefault>
  </w:docDefaults>
  <w:style w:type="paragraph" w:styleId="FirmName" w:customStyle="true">
    <w:name w:val="FirmName"/>
    <w:pPr>
      <w:spacing w:before="0" w:after="0"/>
      <w:jc w:val="center"/>
    </w:pPr>
    <w:rPr>
      <w:rFonts w:ascii="Georgia" w:hAnsi="Georgia" w:eastAsia="Georgia"/>
      <w:b/>
      <w:color w:val="1B2A4A"/>
      <w:sz w:val="56"/>
    </w:rPr>
  </w:style>
  <w:style w:type="paragraph" w:styleId="MemoHeading" w:customStyle="true">
    <w:name w:val="MemoHeading"/>
    <w:pPr>
      <w:spacing w:before="200" w:after="80"/>
    </w:pPr>
    <w:rPr>
      <w:rFonts w:ascii="Georgia" w:hAnsi="Georgia" w:eastAsia="Georgia"/>
      <w:b/>
      <w:color w:val="1B2A4A"/>
      <w:sz w:val="26"/>
    </w:rPr>
  </w:style>
  <w:style w:type="paragraph" w:styleId="MemoBody" w:customStyle="true">
    <w:name w:val="MemoBody"/>
    <w:pPr>
      <w:spacing w:before="0" w:after="120"/>
    </w:pPr>
    <w:rPr>
      <w:rFonts w:ascii="Georgia" w:hAnsi="Georgia" w:eastAsia="Georgia"/>
      <w:color w:val="1A1A1A"/>
      <w:sz w:val="22"/>
    </w:rPr>
  </w:style>
  <w:style w:type="paragraph" w:styleId="MemoHeaderField" w:customStyle="true">
    <w:name w:val="MemoHeaderField"/>
    <w:pPr>
      <w:spacing w:before="0" w:after="40"/>
    </w:pPr>
    <w:rPr>
      <w:rFonts w:ascii="Georgia" w:hAnsi="Georgia" w:eastAsia="Georgia"/>
      <w:color w:val="222222"/>
      <w:sz w:val="22"/>
    </w:rPr>
  </w:style>
</w:styles>
</file>

<file path=word/_rels/document.xml.rels>&#65279;<?xml version="1.0" encoding="utf-8"?><Relationships xmlns="http://schemas.openxmlformats.org/package/2006/relationships"><Relationship Type="http://schemas.openxmlformats.org/officeDocument/2006/relationships/settings" Target="/word/settings.xml" Id="R413ec9af796547c6" /><Relationship Type="http://schemas.openxmlformats.org/officeDocument/2006/relationships/styles" Target="/word/styles.xml" Id="R3017c906f5d64a16" /><Relationship Type="http://schemas.openxmlformats.org/officeDocument/2006/relationships/numbering" Target="/word/numbering.xml" Id="R9b5c580daf234d59" /></Relationships>
</file>